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1C7" w14:textId="77777777" w:rsidR="004029E5" w:rsidRPr="000D5336" w:rsidRDefault="005758F6">
      <w:pPr>
        <w:rPr>
          <w:sz w:val="20"/>
          <w:szCs w:val="20"/>
        </w:rPr>
      </w:pPr>
      <w:r w:rsidRPr="000D5336">
        <w:rPr>
          <w:sz w:val="20"/>
          <w:szCs w:val="20"/>
        </w:rPr>
        <w:t xml:space="preserve">AGENDA </w:t>
      </w:r>
      <w:r w:rsidR="0026593C" w:rsidRPr="000D5336">
        <w:rPr>
          <w:sz w:val="20"/>
          <w:szCs w:val="20"/>
        </w:rPr>
        <w:t>17 AUGUST 2021</w:t>
      </w:r>
    </w:p>
    <w:p w14:paraId="4C476EBB" w14:textId="580BECDB" w:rsidR="00415F49" w:rsidRPr="000D5336" w:rsidRDefault="004F6AB6">
      <w:pPr>
        <w:rPr>
          <w:sz w:val="20"/>
          <w:szCs w:val="20"/>
        </w:rPr>
      </w:pPr>
      <w:r w:rsidRPr="000D5336">
        <w:rPr>
          <w:sz w:val="20"/>
          <w:szCs w:val="20"/>
        </w:rPr>
        <w:t xml:space="preserve">MEETING </w:t>
      </w:r>
      <w:r w:rsidR="0026593C" w:rsidRPr="000D5336">
        <w:rPr>
          <w:sz w:val="20"/>
          <w:szCs w:val="20"/>
        </w:rPr>
        <w:t>5</w:t>
      </w:r>
      <w:r w:rsidR="00E7627A" w:rsidRPr="000D5336">
        <w:rPr>
          <w:sz w:val="20"/>
          <w:szCs w:val="20"/>
        </w:rPr>
        <w:t xml:space="preserve"> </w:t>
      </w:r>
      <w:r w:rsidRPr="000D5336">
        <w:rPr>
          <w:sz w:val="20"/>
          <w:szCs w:val="20"/>
        </w:rPr>
        <w:t>P&amp;C COMMITTEE 2021</w:t>
      </w:r>
    </w:p>
    <w:p w14:paraId="663D7F7A" w14:textId="37B1EE32" w:rsidR="00B43C3E" w:rsidRPr="000D5336" w:rsidRDefault="00415F49">
      <w:pPr>
        <w:rPr>
          <w:sz w:val="20"/>
          <w:szCs w:val="20"/>
        </w:rPr>
      </w:pPr>
      <w:r w:rsidRPr="000D5336">
        <w:rPr>
          <w:b/>
          <w:bCs/>
          <w:sz w:val="20"/>
          <w:szCs w:val="20"/>
          <w:u w:val="single"/>
        </w:rPr>
        <w:t>Acknowledgment of Country</w:t>
      </w:r>
      <w:r w:rsidRPr="000D5336">
        <w:rPr>
          <w:sz w:val="20"/>
          <w:szCs w:val="20"/>
        </w:rPr>
        <w:t xml:space="preserve"> – We would like to acknowledge the traditional custodians of the land on which we meet this evening, the Wangal people of the Eora Nation. We pay our respect to </w:t>
      </w:r>
      <w:r w:rsidR="00556F34" w:rsidRPr="000D5336">
        <w:rPr>
          <w:sz w:val="20"/>
          <w:szCs w:val="20"/>
        </w:rPr>
        <w:t>their elders p</w:t>
      </w:r>
      <w:r w:rsidRPr="000D5336">
        <w:rPr>
          <w:sz w:val="20"/>
          <w:szCs w:val="20"/>
        </w:rPr>
        <w:t>ast</w:t>
      </w:r>
      <w:r w:rsidR="00556F34" w:rsidRPr="000D5336">
        <w:rPr>
          <w:sz w:val="20"/>
          <w:szCs w:val="20"/>
        </w:rPr>
        <w:t xml:space="preserve">, </w:t>
      </w:r>
      <w:r w:rsidRPr="000D5336">
        <w:rPr>
          <w:sz w:val="20"/>
          <w:szCs w:val="20"/>
        </w:rPr>
        <w:t>present</w:t>
      </w:r>
      <w:r w:rsidR="00556F34" w:rsidRPr="000D5336">
        <w:rPr>
          <w:sz w:val="20"/>
          <w:szCs w:val="20"/>
        </w:rPr>
        <w:t xml:space="preserve"> and emerging. We e</w:t>
      </w:r>
      <w:r w:rsidRPr="000D5336">
        <w:rPr>
          <w:sz w:val="20"/>
          <w:szCs w:val="20"/>
        </w:rPr>
        <w:t>xtend that respect to any Aboriginal people here this evening.</w:t>
      </w:r>
    </w:p>
    <w:p w14:paraId="439BDA34" w14:textId="77777777" w:rsidR="00A039D4" w:rsidRPr="000D5336" w:rsidRDefault="00A039D4" w:rsidP="00A039D4">
      <w:pPr>
        <w:rPr>
          <w:rFonts w:cstheme="minorHAnsi"/>
          <w:sz w:val="20"/>
          <w:szCs w:val="20"/>
        </w:rPr>
      </w:pPr>
      <w:r w:rsidRPr="000D5336">
        <w:rPr>
          <w:rFonts w:cstheme="minorHAnsi"/>
          <w:b/>
          <w:bCs/>
          <w:sz w:val="20"/>
          <w:szCs w:val="20"/>
          <w:u w:val="single"/>
        </w:rPr>
        <w:t>School Principal</w:t>
      </w:r>
      <w:r w:rsidRPr="000D5336">
        <w:rPr>
          <w:rFonts w:cstheme="minorHAnsi"/>
          <w:sz w:val="20"/>
          <w:szCs w:val="20"/>
        </w:rPr>
        <w:t xml:space="preserve"> – Brian Dill</w:t>
      </w:r>
    </w:p>
    <w:p w14:paraId="4D0EE231" w14:textId="77777777" w:rsidR="00A039D4" w:rsidRPr="000D5336" w:rsidRDefault="00A039D4" w:rsidP="00A039D4">
      <w:pPr>
        <w:rPr>
          <w:rFonts w:cstheme="minorHAnsi"/>
          <w:sz w:val="20"/>
          <w:szCs w:val="20"/>
        </w:rPr>
      </w:pPr>
      <w:r w:rsidRPr="000D5336">
        <w:rPr>
          <w:rFonts w:cstheme="minorHAnsi"/>
          <w:b/>
          <w:bCs/>
          <w:sz w:val="20"/>
          <w:szCs w:val="20"/>
          <w:u w:val="single"/>
        </w:rPr>
        <w:t>P&amp;C Executive</w:t>
      </w:r>
      <w:r w:rsidRPr="000D5336">
        <w:rPr>
          <w:rFonts w:cstheme="minorHAnsi"/>
          <w:sz w:val="20"/>
          <w:szCs w:val="20"/>
        </w:rPr>
        <w:t xml:space="preserve"> - President - Duncan Watson (DW), Vice-President - Sylvia Anderson (SA) and Aviva Cheng (AC), Treasurer - Angus McDonald (AM), Secretary - Sahar Razi (SR).</w:t>
      </w:r>
    </w:p>
    <w:p w14:paraId="4F0861D1" w14:textId="36344AA7" w:rsidR="00A039D4" w:rsidRPr="000D5336" w:rsidRDefault="00A039D4" w:rsidP="00A039D4">
      <w:pPr>
        <w:rPr>
          <w:rFonts w:cstheme="minorHAnsi"/>
          <w:sz w:val="20"/>
          <w:szCs w:val="20"/>
        </w:rPr>
      </w:pPr>
      <w:r w:rsidRPr="000D5336">
        <w:rPr>
          <w:rFonts w:cstheme="minorHAnsi"/>
          <w:b/>
          <w:bCs/>
          <w:sz w:val="20"/>
          <w:szCs w:val="20"/>
          <w:u w:val="single"/>
        </w:rPr>
        <w:t xml:space="preserve">Attendees </w:t>
      </w:r>
      <w:r w:rsidRPr="000D5336">
        <w:rPr>
          <w:rFonts w:cstheme="minorHAnsi"/>
          <w:sz w:val="20"/>
          <w:szCs w:val="20"/>
        </w:rPr>
        <w:t xml:space="preserve">–  (10) BD, DW, SR, AM, AC, Walid El- Khoury (WEK), Dee Elalingam (DE), Mark Morgant (MM) </w:t>
      </w:r>
      <w:r w:rsidR="000D5336" w:rsidRPr="000D5336">
        <w:rPr>
          <w:rFonts w:cstheme="minorHAnsi"/>
          <w:sz w:val="20"/>
          <w:szCs w:val="20"/>
        </w:rPr>
        <w:t>, Bianca Reis Moses</w:t>
      </w:r>
      <w:r w:rsidR="007333B4">
        <w:rPr>
          <w:rFonts w:cstheme="minorHAnsi"/>
          <w:sz w:val="20"/>
          <w:szCs w:val="20"/>
        </w:rPr>
        <w:t xml:space="preserve"> and</w:t>
      </w:r>
      <w:r w:rsidR="00CF2423">
        <w:rPr>
          <w:rFonts w:cstheme="minorHAnsi"/>
          <w:sz w:val="20"/>
          <w:szCs w:val="20"/>
        </w:rPr>
        <w:t xml:space="preserve"> </w:t>
      </w:r>
      <w:r w:rsidR="00CF2423" w:rsidRPr="000D5336">
        <w:rPr>
          <w:rFonts w:cstheme="minorHAnsi"/>
          <w:sz w:val="20"/>
          <w:szCs w:val="20"/>
        </w:rPr>
        <w:t>Kylie Jackson</w:t>
      </w:r>
      <w:r w:rsidR="00CF2423">
        <w:rPr>
          <w:rFonts w:cstheme="minorHAnsi"/>
          <w:sz w:val="20"/>
          <w:szCs w:val="20"/>
        </w:rPr>
        <w:t>.</w:t>
      </w:r>
    </w:p>
    <w:p w14:paraId="3DA55902" w14:textId="4EE26653" w:rsidR="005D3DE6" w:rsidRPr="0027665A" w:rsidRDefault="00A039D4">
      <w:pPr>
        <w:rPr>
          <w:rFonts w:cstheme="minorHAnsi"/>
          <w:sz w:val="20"/>
          <w:szCs w:val="20"/>
        </w:rPr>
      </w:pPr>
      <w:r w:rsidRPr="000D5336">
        <w:rPr>
          <w:rFonts w:cstheme="minorHAnsi"/>
          <w:b/>
          <w:bCs/>
          <w:sz w:val="20"/>
          <w:szCs w:val="20"/>
          <w:u w:val="single"/>
        </w:rPr>
        <w:t>Apologies</w:t>
      </w:r>
      <w:r w:rsidRPr="000D5336">
        <w:rPr>
          <w:rFonts w:cstheme="minorHAnsi"/>
          <w:sz w:val="20"/>
          <w:szCs w:val="20"/>
        </w:rPr>
        <w:t xml:space="preserve"> - (</w:t>
      </w:r>
      <w:r w:rsidR="00CF2423">
        <w:rPr>
          <w:rFonts w:cstheme="minorHAnsi"/>
          <w:sz w:val="20"/>
          <w:szCs w:val="20"/>
        </w:rPr>
        <w:t>2</w:t>
      </w:r>
      <w:r w:rsidRPr="000D5336">
        <w:rPr>
          <w:rFonts w:cstheme="minorHAnsi"/>
          <w:sz w:val="20"/>
          <w:szCs w:val="20"/>
        </w:rPr>
        <w:t>) David Thorley</w:t>
      </w:r>
      <w:r w:rsidR="00CF2423">
        <w:rPr>
          <w:rFonts w:cstheme="minorHAnsi"/>
          <w:sz w:val="20"/>
          <w:szCs w:val="20"/>
        </w:rPr>
        <w:t xml:space="preserve"> and </w:t>
      </w:r>
      <w:r w:rsidRPr="000D5336">
        <w:rPr>
          <w:rFonts w:cstheme="minorHAnsi"/>
          <w:sz w:val="20"/>
          <w:szCs w:val="20"/>
        </w:rPr>
        <w:t>Emile Rohmer</w:t>
      </w:r>
      <w:r w:rsidR="00CF2423">
        <w:rPr>
          <w:rFonts w:cstheme="minorHAnsi"/>
          <w:sz w:val="20"/>
          <w:szCs w:val="20"/>
        </w:rPr>
        <w:t>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46"/>
        <w:gridCol w:w="9823"/>
        <w:gridCol w:w="1701"/>
      </w:tblGrid>
      <w:tr w:rsidR="0027665A" w:rsidRPr="00AC35ED" w14:paraId="30D036E5" w14:textId="32EFD289" w:rsidTr="0027665A">
        <w:tc>
          <w:tcPr>
            <w:tcW w:w="2646" w:type="dxa"/>
            <w:shd w:val="clear" w:color="auto" w:fill="B4C6E7" w:themeFill="accent1" w:themeFillTint="66"/>
          </w:tcPr>
          <w:p w14:paraId="2D1C60D9" w14:textId="0BABD1E2" w:rsidR="0027665A" w:rsidRPr="00AC35ED" w:rsidRDefault="002766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9823" w:type="dxa"/>
            <w:shd w:val="clear" w:color="auto" w:fill="B4C6E7" w:themeFill="accent1" w:themeFillTint="66"/>
          </w:tcPr>
          <w:p w14:paraId="34BC21D3" w14:textId="0F6DBE08" w:rsidR="0027665A" w:rsidRPr="00AC35ED" w:rsidRDefault="002766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06A6FF3" w14:textId="67DD4317" w:rsidR="0027665A" w:rsidRPr="00AC35ED" w:rsidRDefault="0027665A">
            <w:pPr>
              <w:rPr>
                <w:b/>
                <w:bCs/>
                <w:sz w:val="20"/>
                <w:szCs w:val="20"/>
              </w:rPr>
            </w:pPr>
            <w:r w:rsidRPr="00AC35ED">
              <w:rPr>
                <w:b/>
                <w:bCs/>
                <w:sz w:val="20"/>
                <w:szCs w:val="20"/>
              </w:rPr>
              <w:t>Person</w:t>
            </w:r>
          </w:p>
        </w:tc>
      </w:tr>
      <w:tr w:rsidR="0027665A" w:rsidRPr="00AC35ED" w14:paraId="08CA4DDC" w14:textId="7669043E" w:rsidTr="0027665A">
        <w:tc>
          <w:tcPr>
            <w:tcW w:w="2646" w:type="dxa"/>
          </w:tcPr>
          <w:p w14:paraId="42F22E04" w14:textId="77777777" w:rsidR="0027665A" w:rsidRDefault="0027665A" w:rsidP="005D3DE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Principals’ Report</w:t>
            </w:r>
          </w:p>
          <w:p w14:paraId="5FDC18BB" w14:textId="56A6DAE6" w:rsidR="0027665A" w:rsidRPr="00CB6B05" w:rsidRDefault="0027665A" w:rsidP="005D3D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B6B05">
              <w:rPr>
                <w:rFonts w:cstheme="minorHAnsi"/>
                <w:sz w:val="20"/>
                <w:szCs w:val="20"/>
              </w:rPr>
              <w:t>Amanda MacRae and Bec</w:t>
            </w:r>
            <w:r w:rsidR="00A81593">
              <w:rPr>
                <w:rFonts w:cstheme="minorHAnsi"/>
                <w:sz w:val="20"/>
                <w:szCs w:val="20"/>
              </w:rPr>
              <w:t>k</w:t>
            </w:r>
            <w:r w:rsidRPr="00CB6B05">
              <w:rPr>
                <w:rFonts w:cstheme="minorHAnsi"/>
                <w:sz w:val="20"/>
                <w:szCs w:val="20"/>
              </w:rPr>
              <w:t xml:space="preserve"> Cantlay – ‘How to teach reading’</w:t>
            </w:r>
          </w:p>
          <w:p w14:paraId="19ADB080" w14:textId="77777777" w:rsidR="0027665A" w:rsidRPr="00CB6B05" w:rsidRDefault="0027665A" w:rsidP="005D3D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B6B05">
              <w:rPr>
                <w:rFonts w:cstheme="minorHAnsi"/>
                <w:sz w:val="20"/>
                <w:szCs w:val="20"/>
              </w:rPr>
              <w:t>Brian Dill – Principal’s report.</w:t>
            </w:r>
          </w:p>
          <w:p w14:paraId="2FE9936C" w14:textId="77777777" w:rsidR="0027665A" w:rsidRPr="00AC35ED" w:rsidRDefault="0027665A">
            <w:pPr>
              <w:rPr>
                <w:sz w:val="20"/>
                <w:szCs w:val="20"/>
              </w:rPr>
            </w:pPr>
          </w:p>
        </w:tc>
        <w:tc>
          <w:tcPr>
            <w:tcW w:w="9823" w:type="dxa"/>
          </w:tcPr>
          <w:p w14:paraId="5B780AC3" w14:textId="77777777" w:rsidR="0027665A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Amanda MacRae – The Big 6 of reading – slides.</w:t>
            </w:r>
          </w:p>
          <w:p w14:paraId="59593D32" w14:textId="77777777" w:rsidR="0027665A" w:rsidRPr="00E8772D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Heggerty program – phonological awareness.</w:t>
            </w:r>
          </w:p>
          <w:p w14:paraId="71765F58" w14:textId="1305B01E" w:rsidR="0027665A" w:rsidRPr="006E1084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Decodable books.</w:t>
            </w:r>
          </w:p>
          <w:p w14:paraId="553359DF" w14:textId="77777777" w:rsidR="0027665A" w:rsidRPr="003E773E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High frequency words.</w:t>
            </w:r>
          </w:p>
          <w:p w14:paraId="4C7DC7E9" w14:textId="77777777" w:rsidR="0027665A" w:rsidRPr="00437550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Fluency – end of year 1.</w:t>
            </w:r>
          </w:p>
          <w:p w14:paraId="3FD42AC8" w14:textId="77777777" w:rsidR="0027665A" w:rsidRPr="00A03B80" w:rsidRDefault="0027665A" w:rsidP="00E8772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Vocabulary – key to reading and comprehension.</w:t>
            </w:r>
          </w:p>
          <w:p w14:paraId="31CF922E" w14:textId="77777777" w:rsidR="0027665A" w:rsidRPr="00A03B80" w:rsidRDefault="0027665A" w:rsidP="00A03B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Reading comprehension.</w:t>
            </w:r>
          </w:p>
          <w:p w14:paraId="34E7FB80" w14:textId="77777777" w:rsidR="0027665A" w:rsidRPr="00941846" w:rsidRDefault="0027665A" w:rsidP="00A03B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Hints for reading with your child.</w:t>
            </w:r>
          </w:p>
          <w:p w14:paraId="0290566A" w14:textId="6BF56301" w:rsidR="0027665A" w:rsidRDefault="0027665A" w:rsidP="00A03B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1846">
              <w:rPr>
                <w:rFonts w:cstheme="minorHAnsi"/>
                <w:sz w:val="20"/>
                <w:szCs w:val="20"/>
              </w:rPr>
              <w:t>Pause, prompt, praise.</w:t>
            </w:r>
          </w:p>
          <w:p w14:paraId="3FE41CE4" w14:textId="63DA7AB2" w:rsidR="0027665A" w:rsidRPr="00941846" w:rsidRDefault="0027665A" w:rsidP="00A03B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Sincere thanks from P&amp;C for teachers’ presentation.</w:t>
            </w:r>
          </w:p>
          <w:p w14:paraId="2EC959E5" w14:textId="19CE219B" w:rsidR="0027665A" w:rsidRPr="007333B4" w:rsidRDefault="0027665A" w:rsidP="0098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7A15C" w14:textId="77777777" w:rsidR="0027665A" w:rsidRDefault="002766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Dill</w:t>
            </w:r>
          </w:p>
          <w:p w14:paraId="4396F2D0" w14:textId="77777777" w:rsidR="0027665A" w:rsidRDefault="002766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Amanda MacRae</w:t>
            </w:r>
          </w:p>
          <w:p w14:paraId="7D8A80DA" w14:textId="4B99643A" w:rsidR="0027665A" w:rsidRPr="009C0784" w:rsidRDefault="002766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</w:t>
            </w:r>
            <w:r w:rsidR="00A81593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 xml:space="preserve"> Cantlay</w:t>
            </w:r>
          </w:p>
        </w:tc>
      </w:tr>
      <w:tr w:rsidR="0027665A" w:rsidRPr="00AC35ED" w14:paraId="6E068DCC" w14:textId="197E718F" w:rsidTr="0027665A">
        <w:tc>
          <w:tcPr>
            <w:tcW w:w="2646" w:type="dxa"/>
          </w:tcPr>
          <w:p w14:paraId="4E9C47CB" w14:textId="77777777" w:rsidR="0027665A" w:rsidRDefault="0027665A">
            <w:pPr>
              <w:rPr>
                <w:sz w:val="20"/>
                <w:szCs w:val="20"/>
              </w:rPr>
            </w:pPr>
            <w:r w:rsidRPr="00AC35ED">
              <w:rPr>
                <w:sz w:val="20"/>
                <w:szCs w:val="20"/>
              </w:rPr>
              <w:t>1</w:t>
            </w:r>
          </w:p>
          <w:p w14:paraId="5C7B0CB0" w14:textId="77777777" w:rsidR="0027665A" w:rsidRPr="00EC3409" w:rsidRDefault="0027665A" w:rsidP="00A02FE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Welcome –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7.30pm</w:t>
            </w:r>
          </w:p>
          <w:p w14:paraId="77A2A2E3" w14:textId="77777777" w:rsidR="0027665A" w:rsidRPr="009C0784" w:rsidRDefault="0027665A" w:rsidP="00A02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Acknowledgment of Country</w:t>
            </w:r>
          </w:p>
          <w:p w14:paraId="354FCE55" w14:textId="77777777" w:rsidR="0027665A" w:rsidRPr="009C0784" w:rsidRDefault="0027665A" w:rsidP="00A02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Statement of Inclusivity</w:t>
            </w:r>
          </w:p>
          <w:p w14:paraId="3ED6C822" w14:textId="51AB740F" w:rsidR="0027665A" w:rsidRPr="00AC35ED" w:rsidRDefault="0027665A" w:rsidP="00A02FEC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lastRenderedPageBreak/>
              <w:t>Formal opening</w:t>
            </w:r>
          </w:p>
        </w:tc>
        <w:tc>
          <w:tcPr>
            <w:tcW w:w="9823" w:type="dxa"/>
          </w:tcPr>
          <w:p w14:paraId="45AFE09A" w14:textId="77777777" w:rsidR="0027665A" w:rsidRPr="007D462D" w:rsidRDefault="0027665A" w:rsidP="0050119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lastRenderedPageBreak/>
              <w:t xml:space="preserve"> </w:t>
            </w:r>
            <w:r w:rsidRPr="007D462D">
              <w:rPr>
                <w:rFonts w:cstheme="minorHAnsi"/>
                <w:sz w:val="20"/>
                <w:szCs w:val="20"/>
              </w:rPr>
              <w:t xml:space="preserve">Statement of Inclusivity –  ‘We are all here to serve our community. Everyone is welcome. Your voice matters and counts.’  </w:t>
            </w:r>
          </w:p>
          <w:p w14:paraId="50C88B21" w14:textId="0748428D" w:rsidR="0027665A" w:rsidRPr="009847C5" w:rsidRDefault="0027665A" w:rsidP="00984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E5578" w14:textId="21AF8586" w:rsidR="0027665A" w:rsidRPr="009C0784" w:rsidRDefault="0027665A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Duncan</w:t>
            </w:r>
            <w:r>
              <w:rPr>
                <w:rFonts w:cstheme="minorHAnsi"/>
                <w:sz w:val="20"/>
                <w:szCs w:val="20"/>
              </w:rPr>
              <w:t xml:space="preserve"> Watson / Sahar Razi</w:t>
            </w:r>
          </w:p>
        </w:tc>
      </w:tr>
      <w:tr w:rsidR="0027665A" w:rsidRPr="00AC35ED" w14:paraId="712C8EFA" w14:textId="121013E6" w:rsidTr="0027665A">
        <w:tc>
          <w:tcPr>
            <w:tcW w:w="2646" w:type="dxa"/>
          </w:tcPr>
          <w:p w14:paraId="03FC8924" w14:textId="77777777" w:rsidR="0027665A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A25CA60" w14:textId="77777777" w:rsidR="0027665A" w:rsidRPr="009C0784" w:rsidRDefault="0027665A" w:rsidP="00A02FEC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President’s report</w:t>
            </w:r>
          </w:p>
          <w:p w14:paraId="4F27D9C8" w14:textId="312217EC" w:rsidR="0027665A" w:rsidRPr="00AC35ED" w:rsidRDefault="0027665A">
            <w:pPr>
              <w:rPr>
                <w:sz w:val="20"/>
                <w:szCs w:val="20"/>
              </w:rPr>
            </w:pPr>
          </w:p>
        </w:tc>
        <w:tc>
          <w:tcPr>
            <w:tcW w:w="9823" w:type="dxa"/>
          </w:tcPr>
          <w:p w14:paraId="2BDA3D9E" w14:textId="78908780" w:rsidR="0027665A" w:rsidRDefault="0027665A" w:rsidP="00863F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opening of P&amp;C.</w:t>
            </w:r>
          </w:p>
          <w:p w14:paraId="5BAB30A2" w14:textId="46F4BCA2" w:rsidR="0027665A" w:rsidRDefault="0027665A" w:rsidP="00863F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Peer support – mental health month. October.</w:t>
            </w:r>
          </w:p>
          <w:p w14:paraId="35F55EAE" w14:textId="57C7A872" w:rsidR="0027665A" w:rsidRDefault="0027665A" w:rsidP="00863F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and walkathan.</w:t>
            </w:r>
          </w:p>
          <w:p w14:paraId="46DAAF96" w14:textId="16FE10E1" w:rsidR="0027665A" w:rsidRPr="002E7BBD" w:rsidRDefault="0027665A" w:rsidP="002E7B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8EF6D7" w14:textId="4EAB554E" w:rsidR="0027665A" w:rsidRPr="009C0784" w:rsidRDefault="0027665A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 xml:space="preserve">Duncan </w:t>
            </w:r>
            <w:r>
              <w:rPr>
                <w:rFonts w:cstheme="minorHAnsi"/>
                <w:sz w:val="20"/>
                <w:szCs w:val="20"/>
              </w:rPr>
              <w:t>Watson</w:t>
            </w:r>
          </w:p>
        </w:tc>
      </w:tr>
      <w:tr w:rsidR="0027665A" w:rsidRPr="00AC35ED" w14:paraId="7B2932D9" w14:textId="77777777" w:rsidTr="0027665A">
        <w:tc>
          <w:tcPr>
            <w:tcW w:w="2646" w:type="dxa"/>
          </w:tcPr>
          <w:p w14:paraId="495D59FA" w14:textId="77777777" w:rsidR="0027665A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7213346" w14:textId="75DEFFA1" w:rsidR="0027665A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Principal’s formal report</w:t>
            </w:r>
          </w:p>
          <w:p w14:paraId="252F52A8" w14:textId="6FE1C7FB" w:rsidR="0027665A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Dill</w:t>
            </w:r>
          </w:p>
        </w:tc>
        <w:tc>
          <w:tcPr>
            <w:tcW w:w="9823" w:type="dxa"/>
          </w:tcPr>
          <w:p w14:paraId="36D64AD0" w14:textId="4F59A39E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Principal’s report – </w:t>
            </w:r>
          </w:p>
          <w:p w14:paraId="62834BCB" w14:textId="13261A06" w:rsidR="0027665A" w:rsidRDefault="0027665A" w:rsidP="008874E7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Wednesday.</w:t>
            </w:r>
          </w:p>
          <w:p w14:paraId="5B8FA647" w14:textId="77777777" w:rsidR="0027665A" w:rsidRDefault="0027665A" w:rsidP="0027665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Bigger, better, brighter – Thursday morning.</w:t>
            </w:r>
          </w:p>
          <w:p w14:paraId="396463D9" w14:textId="36BBBEB3" w:rsidR="0027665A" w:rsidRPr="0027665A" w:rsidRDefault="0027665A" w:rsidP="0027665A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27665A">
              <w:rPr>
                <w:sz w:val="20"/>
                <w:szCs w:val="20"/>
              </w:rPr>
              <w:t>Concerned about growing number of cases.</w:t>
            </w:r>
          </w:p>
          <w:p w14:paraId="2382C329" w14:textId="5EB8DBA5" w:rsidR="0027665A" w:rsidRPr="00776043" w:rsidRDefault="0027665A" w:rsidP="007760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5C459" w14:textId="1C797A01" w:rsidR="0027665A" w:rsidRPr="009C0784" w:rsidRDefault="0027665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Dill</w:t>
            </w:r>
          </w:p>
        </w:tc>
      </w:tr>
      <w:tr w:rsidR="0027665A" w:rsidRPr="00AC35ED" w14:paraId="618585A9" w14:textId="0060BB0D" w:rsidTr="0027665A">
        <w:tc>
          <w:tcPr>
            <w:tcW w:w="2646" w:type="dxa"/>
          </w:tcPr>
          <w:p w14:paraId="1E431E7D" w14:textId="456AB33F" w:rsidR="0027665A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FF5594F" w14:textId="77777777" w:rsidR="0027665A" w:rsidRPr="009C0784" w:rsidRDefault="0027665A" w:rsidP="00A02FEC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Treasurer’s report (including formal written repo</w:t>
            </w:r>
            <w:r>
              <w:rPr>
                <w:rFonts w:cstheme="minorHAnsi"/>
                <w:sz w:val="20"/>
                <w:szCs w:val="20"/>
              </w:rPr>
              <w:t>rt</w:t>
            </w:r>
            <w:r w:rsidRPr="009C0784">
              <w:rPr>
                <w:rFonts w:cstheme="minorHAnsi"/>
                <w:sz w:val="20"/>
                <w:szCs w:val="20"/>
              </w:rPr>
              <w:t>)</w:t>
            </w:r>
          </w:p>
          <w:p w14:paraId="6EBDE092" w14:textId="77777777" w:rsidR="0027665A" w:rsidRPr="009C0784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Pr="5969747C">
              <w:rPr>
                <w:sz w:val="20"/>
                <w:szCs w:val="20"/>
              </w:rPr>
              <w:t>&amp; YTD results</w:t>
            </w:r>
            <w:r>
              <w:rPr>
                <w:sz w:val="20"/>
                <w:szCs w:val="20"/>
              </w:rPr>
              <w:t>. Covid impact</w:t>
            </w:r>
          </w:p>
          <w:p w14:paraId="055D3CAD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Projection to end of year</w:t>
            </w:r>
          </w:p>
          <w:p w14:paraId="526FF281" w14:textId="64ED613B" w:rsidR="0027665A" w:rsidRDefault="0027665A" w:rsidP="00A02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177B439B" w14:textId="77777777" w:rsidR="0027665A" w:rsidRDefault="0027665A">
            <w:pPr>
              <w:rPr>
                <w:sz w:val="20"/>
                <w:szCs w:val="20"/>
              </w:rPr>
            </w:pPr>
          </w:p>
          <w:p w14:paraId="5576023B" w14:textId="7231CDF8" w:rsidR="0027665A" w:rsidRPr="00AC35ED" w:rsidRDefault="0027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7.55pm</w:t>
            </w:r>
          </w:p>
        </w:tc>
        <w:tc>
          <w:tcPr>
            <w:tcW w:w="9823" w:type="dxa"/>
          </w:tcPr>
          <w:p w14:paraId="4540929B" w14:textId="381428A8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$72K in deficit.</w:t>
            </w:r>
          </w:p>
          <w:p w14:paraId="63DB10AA" w14:textId="6E64142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Lockdown – what is it going to look like going forward?</w:t>
            </w:r>
          </w:p>
          <w:p w14:paraId="56B28596" w14:textId="77777777" w:rsidR="0027665A" w:rsidRDefault="0027665A" w:rsidP="007809BC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activitython?</w:t>
            </w:r>
          </w:p>
          <w:p w14:paraId="19199316" w14:textId="511584C8" w:rsidR="0027665A" w:rsidRPr="007809BC" w:rsidRDefault="0027665A" w:rsidP="007809BC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809BC">
              <w:rPr>
                <w:sz w:val="20"/>
                <w:szCs w:val="20"/>
              </w:rPr>
              <w:t>One other fundraising activity</w:t>
            </w:r>
            <w:r>
              <w:rPr>
                <w:sz w:val="20"/>
                <w:szCs w:val="20"/>
              </w:rPr>
              <w:t>?</w:t>
            </w:r>
          </w:p>
          <w:p w14:paraId="0DC7D39B" w14:textId="0B1E451B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Assumption that no other events for external visitors – </w:t>
            </w:r>
          </w:p>
          <w:p w14:paraId="3EE246FF" w14:textId="09CA7E2E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activitython would not require any external visitors.</w:t>
            </w:r>
          </w:p>
          <w:p w14:paraId="2F9B56C5" w14:textId="5786CB76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question is how long the restrictions will continue. At least end of October/ end of November. It is assuming that the current situation does not change.</w:t>
            </w:r>
          </w:p>
          <w:p w14:paraId="67C6EA3E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taking that scenario – we have made the assumption that we would resume operations in October. And have left 23K in sponsorship.</w:t>
            </w:r>
          </w:p>
          <w:p w14:paraId="69FCC37E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deficit of $72K.</w:t>
            </w:r>
          </w:p>
          <w:p w14:paraId="58A7C778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$50K surplus before donations.</w:t>
            </w:r>
          </w:p>
          <w:p w14:paraId="60A43797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Prudent that we don’t approve any new grants.</w:t>
            </w:r>
          </w:p>
          <w:p w14:paraId="103E1DA8" w14:textId="295221AB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need to determine the impact of how Covid impacts the fundraising activities for the end of year.</w:t>
            </w:r>
          </w:p>
          <w:p w14:paraId="397B9073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new government funds – application process cumbersome.</w:t>
            </w:r>
          </w:p>
          <w:p w14:paraId="1286E45D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time we had job keeper which was paid to job keeper.</w:t>
            </w:r>
          </w:p>
          <w:p w14:paraId="458BEACF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the case this time. This time they need to apply to direct to service Australia and they are getting that support.</w:t>
            </w:r>
          </w:p>
          <w:p w14:paraId="34489E0C" w14:textId="6E148C93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we have a clearer view –  we will know how to update our estimates.</w:t>
            </w:r>
          </w:p>
          <w:p w14:paraId="1E17E489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- Jobsaver – could be about $7.5K, goes up to $12K.</w:t>
            </w:r>
          </w:p>
          <w:p w14:paraId="26F509FA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DW- Invoices to other sponsors. Have been sent but not yet paid.</w:t>
            </w:r>
          </w:p>
          <w:p w14:paraId="2B40838D" w14:textId="52BB6204" w:rsidR="0027665A" w:rsidRPr="001C3463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 – No sponsor cash yet.</w:t>
            </w:r>
          </w:p>
        </w:tc>
        <w:tc>
          <w:tcPr>
            <w:tcW w:w="1701" w:type="dxa"/>
          </w:tcPr>
          <w:p w14:paraId="65038433" w14:textId="41876C79" w:rsidR="0027665A" w:rsidRPr="009C0784" w:rsidRDefault="0027665A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lastRenderedPageBreak/>
              <w:t>Angus McDonald</w:t>
            </w:r>
          </w:p>
        </w:tc>
      </w:tr>
      <w:tr w:rsidR="0027665A" w:rsidRPr="00AC35ED" w14:paraId="2A4EAD29" w14:textId="41CF3C35" w:rsidTr="0027665A">
        <w:tc>
          <w:tcPr>
            <w:tcW w:w="2646" w:type="dxa"/>
          </w:tcPr>
          <w:p w14:paraId="2498E648" w14:textId="2DA24F8E" w:rsidR="0027665A" w:rsidRDefault="0027665A" w:rsidP="00C54D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3823E4">
              <w:rPr>
                <w:rFonts w:cstheme="minorHAnsi"/>
                <w:sz w:val="20"/>
                <w:szCs w:val="20"/>
              </w:rPr>
              <w:t xml:space="preserve"> Committee reports</w:t>
            </w:r>
            <w:r>
              <w:rPr>
                <w:rFonts w:cstheme="minorHAnsi"/>
                <w:sz w:val="20"/>
                <w:szCs w:val="20"/>
              </w:rPr>
              <w:t xml:space="preserve">  - Covid impact updates.</w:t>
            </w:r>
          </w:p>
          <w:p w14:paraId="18C720FD" w14:textId="77777777" w:rsidR="0027665A" w:rsidRPr="00893879" w:rsidRDefault="0027665A" w:rsidP="00C54D1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70933">
              <w:rPr>
                <w:rFonts w:cstheme="minorHAnsi"/>
                <w:i/>
                <w:iCs/>
                <w:sz w:val="20"/>
                <w:szCs w:val="20"/>
                <w:u w:val="single"/>
              </w:rPr>
              <w:t>Canteen</w:t>
            </w:r>
            <w:r w:rsidRPr="00893879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 xml:space="preserve"> (5 mins) Finalise checklist.</w:t>
            </w:r>
          </w:p>
          <w:p w14:paraId="519B2C6E" w14:textId="5B519496" w:rsidR="0027665A" w:rsidRPr="00F45879" w:rsidRDefault="0027665A" w:rsidP="00F4587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70933">
              <w:rPr>
                <w:rFonts w:cstheme="minorHAnsi"/>
                <w:i/>
                <w:iCs/>
                <w:sz w:val="20"/>
                <w:szCs w:val="20"/>
                <w:u w:val="single"/>
              </w:rPr>
              <w:t>Uniform Shop</w:t>
            </w:r>
            <w:r w:rsidRPr="008938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8938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(5 mins) </w:t>
            </w:r>
          </w:p>
          <w:p w14:paraId="4AD31C77" w14:textId="77777777" w:rsidR="0027665A" w:rsidRPr="00B22038" w:rsidRDefault="0027665A" w:rsidP="00B22038">
            <w:pPr>
              <w:rPr>
                <w:rFonts w:cstheme="minorHAnsi"/>
                <w:sz w:val="20"/>
                <w:szCs w:val="20"/>
              </w:rPr>
            </w:pPr>
          </w:p>
          <w:p w14:paraId="3618EA2F" w14:textId="59F52BE8" w:rsidR="0027665A" w:rsidRPr="003823E4" w:rsidRDefault="0027665A" w:rsidP="0063336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3" w:type="dxa"/>
          </w:tcPr>
          <w:p w14:paraId="7CF1B8B8" w14:textId="408689F6" w:rsidR="0027665A" w:rsidRDefault="0027665A" w:rsidP="00C54D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Canteen – </w:t>
            </w:r>
          </w:p>
          <w:p w14:paraId="639BC9F1" w14:textId="2D6BDDB0" w:rsidR="0027665A" w:rsidRDefault="0027665A" w:rsidP="007809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WWC check around email from SR and checklist drafted by TR.</w:t>
            </w:r>
          </w:p>
          <w:p w14:paraId="04E09A89" w14:textId="77777777" w:rsidR="0027665A" w:rsidRDefault="0027665A" w:rsidP="007809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Agreed – </w:t>
            </w:r>
          </w:p>
          <w:p w14:paraId="1E24736B" w14:textId="7BB655BE" w:rsidR="0027665A" w:rsidRDefault="0027665A" w:rsidP="007809BC">
            <w:pPr>
              <w:pStyle w:val="ListParagraph"/>
              <w:numPr>
                <w:ilvl w:val="2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office and BD would continue with induction of new volunteers as per normal school process. Induction to include ID check and sign in at school.</w:t>
            </w:r>
          </w:p>
          <w:p w14:paraId="5055E2DB" w14:textId="1D044D7E" w:rsidR="0027665A" w:rsidRDefault="0027665A" w:rsidP="007809BC">
            <w:pPr>
              <w:pStyle w:val="ListParagraph"/>
              <w:numPr>
                <w:ilvl w:val="2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would take a form to Eugenie to confirm that they have signed in at school office.</w:t>
            </w:r>
          </w:p>
          <w:p w14:paraId="5847035A" w14:textId="4A27D492" w:rsidR="0027665A" w:rsidRDefault="0027665A" w:rsidP="007809BC">
            <w:pPr>
              <w:pStyle w:val="ListParagraph"/>
              <w:numPr>
                <w:ilvl w:val="2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P&amp;C would request ongoing volunteers to obtain WWC check.</w:t>
            </w:r>
          </w:p>
          <w:p w14:paraId="7512CB63" w14:textId="3B36B4DF" w:rsidR="0027665A" w:rsidRDefault="0027665A" w:rsidP="007809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 shop –</w:t>
            </w:r>
          </w:p>
          <w:p w14:paraId="07C5F2E4" w14:textId="306F187D" w:rsidR="0027665A" w:rsidRPr="007809BC" w:rsidRDefault="0027665A" w:rsidP="007809BC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orders – BD agreed that office staff can process all orders not just outstanding orders.</w:t>
            </w:r>
          </w:p>
          <w:p w14:paraId="74DCEE54" w14:textId="4E891B86" w:rsidR="0027665A" w:rsidRPr="00BD0FF5" w:rsidRDefault="0027665A" w:rsidP="00BD0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51A32D" w14:textId="00D26A8B" w:rsidR="0027665A" w:rsidRDefault="0027665A" w:rsidP="5969747C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Aviva </w:t>
            </w:r>
            <w:r>
              <w:rPr>
                <w:sz w:val="20"/>
                <w:szCs w:val="20"/>
              </w:rPr>
              <w:t>Cheng/</w:t>
            </w:r>
          </w:p>
          <w:p w14:paraId="32D71D7F" w14:textId="43720910" w:rsidR="0027665A" w:rsidRPr="00F97206" w:rsidRDefault="0027665A" w:rsidP="5969747C">
            <w:p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Dee </w:t>
            </w:r>
            <w:r w:rsidRPr="00F9720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Elalingam</w:t>
            </w:r>
          </w:p>
          <w:p w14:paraId="6FB414EE" w14:textId="27059E6A" w:rsidR="0027665A" w:rsidRDefault="0027665A" w:rsidP="009C07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Sylvia Anderson/</w:t>
            </w:r>
          </w:p>
          <w:p w14:paraId="5AB003E0" w14:textId="5F039204" w:rsidR="0027665A" w:rsidRPr="009C0784" w:rsidRDefault="0027665A" w:rsidP="009C07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Sahar Razi</w:t>
            </w:r>
          </w:p>
        </w:tc>
      </w:tr>
      <w:tr w:rsidR="0027665A" w:rsidRPr="00AC35ED" w14:paraId="17ACD1FA" w14:textId="149CF40D" w:rsidTr="0027665A">
        <w:tc>
          <w:tcPr>
            <w:tcW w:w="2646" w:type="dxa"/>
          </w:tcPr>
          <w:p w14:paraId="13BA015E" w14:textId="1EA5CD1B" w:rsidR="0027665A" w:rsidRPr="009C0784" w:rsidRDefault="0027665A" w:rsidP="00C5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5969747C">
              <w:rPr>
                <w:sz w:val="20"/>
                <w:szCs w:val="20"/>
              </w:rPr>
              <w:t xml:space="preserve"> Fundraising</w:t>
            </w:r>
          </w:p>
          <w:p w14:paraId="61D3415F" w14:textId="77777777" w:rsidR="0027665A" w:rsidRPr="00CF41C0" w:rsidRDefault="0027665A" w:rsidP="00C54D1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Carnival –  Proposed date – Sunday 24 October 2021 (10 mins)</w:t>
            </w:r>
          </w:p>
          <w:p w14:paraId="007FCBA2" w14:textId="77777777" w:rsidR="0027665A" w:rsidRPr="006F55ED" w:rsidRDefault="0027665A" w:rsidP="00C54D1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of proposed events (5 mins)</w:t>
            </w:r>
          </w:p>
          <w:p w14:paraId="41B3AB77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Father’s Day stall – (tbc).</w:t>
            </w:r>
          </w:p>
          <w:p w14:paraId="24C5D51E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Activitython – Term 4 (tbc).</w:t>
            </w:r>
          </w:p>
          <w:p w14:paraId="548D9984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Carnival – as above (tbc).</w:t>
            </w:r>
          </w:p>
          <w:p w14:paraId="574750F1" w14:textId="77777777" w:rsidR="0027665A" w:rsidRPr="008334C7" w:rsidRDefault="0027665A" w:rsidP="00C54D12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Halloween Disco – Friday 29 October (tbc).</w:t>
            </w:r>
          </w:p>
          <w:p w14:paraId="0C96178A" w14:textId="65F90E48" w:rsidR="0027665A" w:rsidRPr="00AC35ED" w:rsidRDefault="0027665A" w:rsidP="00633369">
            <w:pPr>
              <w:rPr>
                <w:sz w:val="20"/>
                <w:szCs w:val="20"/>
              </w:rPr>
            </w:pPr>
          </w:p>
        </w:tc>
        <w:tc>
          <w:tcPr>
            <w:tcW w:w="9823" w:type="dxa"/>
          </w:tcPr>
          <w:p w14:paraId="12327D56" w14:textId="77777777" w:rsidR="0027665A" w:rsidRDefault="0027665A" w:rsidP="00D312B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Carnival – 24/10 – It is costing us nothing to hold that date.</w:t>
            </w:r>
          </w:p>
          <w:p w14:paraId="3D326D54" w14:textId="77035EDC" w:rsidR="0027665A" w:rsidRPr="00093C9F" w:rsidRDefault="0027665A" w:rsidP="00093C9F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093C9F">
              <w:rPr>
                <w:rFonts w:eastAsiaTheme="minorEastAsia"/>
                <w:sz w:val="20"/>
                <w:szCs w:val="20"/>
              </w:rPr>
              <w:t>We can wait for most of September</w:t>
            </w:r>
            <w:r>
              <w:rPr>
                <w:rFonts w:eastAsiaTheme="minorEastAsia"/>
                <w:sz w:val="20"/>
                <w:szCs w:val="20"/>
              </w:rPr>
              <w:t xml:space="preserve"> before making a final decision.</w:t>
            </w:r>
          </w:p>
          <w:p w14:paraId="7AE9FA3B" w14:textId="5F2543A9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 am talking to sponsors about whether they will let us keep sponsorship regardless.</w:t>
            </w:r>
          </w:p>
          <w:p w14:paraId="2400BDA2" w14:textId="7598134F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Regardless of the date, we can start promoting the brands asap.</w:t>
            </w:r>
          </w:p>
          <w:p w14:paraId="420FE3C3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We will start promoting them in a planned way.</w:t>
            </w:r>
          </w:p>
          <w:p w14:paraId="4A8C1CED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Total invoices - $23 +8</w:t>
            </w:r>
          </w:p>
          <w:p w14:paraId="6B673DC6" w14:textId="6629A566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Warwick Williams - $5K</w:t>
            </w:r>
          </w:p>
          <w:p w14:paraId="236894FB" w14:textId="13CCED12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No cancellation fees or deposit fees are to be incurred.</w:t>
            </w:r>
          </w:p>
          <w:p w14:paraId="45A49AC2" w14:textId="13D16A0F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band to be notified one or two weeks prior.</w:t>
            </w:r>
          </w:p>
          <w:p w14:paraId="483443FC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Next meeting still have time to make a decision.</w:t>
            </w:r>
          </w:p>
          <w:p w14:paraId="1BFA1BBF" w14:textId="77777777" w:rsidR="0027665A" w:rsidRDefault="0027665A" w:rsidP="00C54D12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Try to make a decision on 17/9?</w:t>
            </w:r>
          </w:p>
          <w:p w14:paraId="4A90E308" w14:textId="4D741DF5" w:rsidR="0027665A" w:rsidRDefault="0027665A" w:rsidP="00DD190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Father’s Day  stall maybe difficult to achieve. Perhaps school could consider Father’s Day activities for children.</w:t>
            </w:r>
          </w:p>
          <w:p w14:paraId="7AAE1F76" w14:textId="1BA50C82" w:rsidR="0027665A" w:rsidRDefault="0027665A" w:rsidP="00DD190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Halloween Disco – tbc.</w:t>
            </w:r>
          </w:p>
          <w:p w14:paraId="7511CD3D" w14:textId="36D954A4" w:rsidR="0027665A" w:rsidRPr="00093C9F" w:rsidRDefault="0027665A" w:rsidP="00093C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4C601" w14:textId="2DEFAE6F" w:rsidR="0027665A" w:rsidRDefault="0027665A" w:rsidP="00633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Walid El-Khoury/Jasmine Evans</w:t>
            </w:r>
          </w:p>
          <w:p w14:paraId="048ADC11" w14:textId="495F9CF2" w:rsidR="0027665A" w:rsidRPr="009C0784" w:rsidRDefault="0027665A" w:rsidP="00633369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Kendal Mackay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9775DA" w14:textId="3C016FB3" w:rsidR="0027665A" w:rsidRDefault="0027665A" w:rsidP="00633369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Sahar Razi</w:t>
            </w:r>
          </w:p>
          <w:p w14:paraId="46FBA1A2" w14:textId="1742111E" w:rsidR="0027665A" w:rsidRPr="009C0784" w:rsidRDefault="0027665A" w:rsidP="00E762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65A" w:rsidRPr="00AC35ED" w14:paraId="2DEF133F" w14:textId="625811F3" w:rsidTr="0027665A">
        <w:tc>
          <w:tcPr>
            <w:tcW w:w="2646" w:type="dxa"/>
          </w:tcPr>
          <w:p w14:paraId="5612D1A0" w14:textId="4B051E87" w:rsidR="0027665A" w:rsidRDefault="0027665A" w:rsidP="00C5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School engagement and well being</w:t>
            </w:r>
          </w:p>
          <w:p w14:paraId="2B00C922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the P&amp;C support the wellbeing of our children?</w:t>
            </w:r>
          </w:p>
          <w:p w14:paraId="5830E74E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P&amp;C about home schooling.</w:t>
            </w:r>
          </w:p>
          <w:p w14:paraId="59A99A9B" w14:textId="67267FE3" w:rsidR="0027665A" w:rsidRDefault="0027665A" w:rsidP="001E047B">
            <w:pPr>
              <w:rPr>
                <w:sz w:val="20"/>
                <w:szCs w:val="20"/>
              </w:rPr>
            </w:pPr>
          </w:p>
        </w:tc>
        <w:tc>
          <w:tcPr>
            <w:tcW w:w="9823" w:type="dxa"/>
          </w:tcPr>
          <w:p w14:paraId="35F27256" w14:textId="3EC535DF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around how can school and P&amp;C support student wellbeing</w:t>
            </w:r>
          </w:p>
          <w:p w14:paraId="2EB08986" w14:textId="622B72D4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– competitions, awards, funding for projects.</w:t>
            </w:r>
          </w:p>
          <w:p w14:paraId="37E11A2A" w14:textId="096ED9F0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P&amp;C encouraged school to let P&amp;C know if we can do anything to help students and teachers during this time.</w:t>
            </w:r>
          </w:p>
          <w:p w14:paraId="6CBCA93A" w14:textId="02F1D7D1" w:rsidR="0027665A" w:rsidRPr="0027665A" w:rsidRDefault="0027665A" w:rsidP="002766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is reviewing vulnerable students. </w:t>
            </w:r>
            <w:r w:rsidRPr="0027665A">
              <w:rPr>
                <w:sz w:val="20"/>
                <w:szCs w:val="20"/>
              </w:rPr>
              <w:t>Looking at specialist staff.</w:t>
            </w:r>
          </w:p>
          <w:p w14:paraId="0482D3C7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had two staff meetings around staff wellbeing. </w:t>
            </w:r>
          </w:p>
          <w:p w14:paraId="5A9D0386" w14:textId="0906C07C" w:rsidR="0027665A" w:rsidRPr="00F26213" w:rsidRDefault="0027665A" w:rsidP="00F2621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alternating around professional development and wellbeing of staff.</w:t>
            </w:r>
          </w:p>
        </w:tc>
        <w:tc>
          <w:tcPr>
            <w:tcW w:w="1701" w:type="dxa"/>
          </w:tcPr>
          <w:p w14:paraId="6ACDBEC6" w14:textId="21BAA910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Sahar Razi</w:t>
            </w:r>
          </w:p>
          <w:p w14:paraId="10F48483" w14:textId="64377084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Dill</w:t>
            </w:r>
          </w:p>
          <w:p w14:paraId="3DE4710A" w14:textId="12F11863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Duncan Watson</w:t>
            </w:r>
          </w:p>
          <w:p w14:paraId="46414EEE" w14:textId="4F206867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Kendall McKay</w:t>
            </w:r>
          </w:p>
          <w:p w14:paraId="549D1601" w14:textId="5C423421" w:rsidR="0027665A" w:rsidRPr="009C0784" w:rsidRDefault="0027665A" w:rsidP="001E04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65A" w:rsidRPr="00AC35ED" w14:paraId="3945B5DD" w14:textId="7FF0D448" w:rsidTr="0027665A">
        <w:tc>
          <w:tcPr>
            <w:tcW w:w="2646" w:type="dxa"/>
          </w:tcPr>
          <w:p w14:paraId="4403FA23" w14:textId="613F9805" w:rsidR="0027665A" w:rsidRPr="009C0784" w:rsidRDefault="0027665A" w:rsidP="00C54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5969747C">
              <w:rPr>
                <w:sz w:val="20"/>
                <w:szCs w:val="20"/>
              </w:rPr>
              <w:t xml:space="preserve"> Any other matters to be raised?</w:t>
            </w:r>
          </w:p>
          <w:p w14:paraId="679FE54F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school newsletter format – feedback.</w:t>
            </w:r>
          </w:p>
          <w:p w14:paraId="55A0D195" w14:textId="7C2CE44F" w:rsidR="0027665A" w:rsidRPr="00AC35ED" w:rsidRDefault="0027665A" w:rsidP="00C54D1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Playground update.</w:t>
            </w:r>
          </w:p>
        </w:tc>
        <w:tc>
          <w:tcPr>
            <w:tcW w:w="9823" w:type="dxa"/>
          </w:tcPr>
          <w:p w14:paraId="4E2348A4" w14:textId="77777777" w:rsidR="0027665A" w:rsidRDefault="0027665A" w:rsidP="004769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school newsletter format praised. Thank you Brian and school team.</w:t>
            </w:r>
          </w:p>
          <w:p w14:paraId="15951D85" w14:textId="039A62A2" w:rsidR="0027665A" w:rsidRPr="00476905" w:rsidRDefault="0027665A" w:rsidP="004769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Playground update – missed at meeting. </w:t>
            </w:r>
            <w:r w:rsidRPr="0027665A">
              <w:rPr>
                <w:rFonts w:cstheme="minorHAnsi"/>
                <w:i/>
                <w:iCs/>
                <w:sz w:val="20"/>
                <w:szCs w:val="20"/>
              </w:rPr>
              <w:t>To be discussed by email.</w:t>
            </w:r>
          </w:p>
        </w:tc>
        <w:tc>
          <w:tcPr>
            <w:tcW w:w="1701" w:type="dxa"/>
          </w:tcPr>
          <w:p w14:paraId="4D68E488" w14:textId="77777777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 w:rsidRPr="009C0784">
              <w:rPr>
                <w:rFonts w:cstheme="minorHAnsi"/>
                <w:sz w:val="20"/>
                <w:szCs w:val="20"/>
              </w:rPr>
              <w:t>Public</w:t>
            </w:r>
          </w:p>
          <w:p w14:paraId="54275829" w14:textId="77777777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 Dill</w:t>
            </w:r>
          </w:p>
          <w:p w14:paraId="0CD3FEAE" w14:textId="77777777" w:rsidR="0027665A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Sahar Razi</w:t>
            </w:r>
          </w:p>
          <w:p w14:paraId="149A295F" w14:textId="6A244766" w:rsidR="0027665A" w:rsidRPr="009C0784" w:rsidRDefault="0027665A" w:rsidP="001E04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65A" w:rsidRPr="00AC35ED" w14:paraId="6A729F24" w14:textId="086F5962" w:rsidTr="0027665A">
        <w:tc>
          <w:tcPr>
            <w:tcW w:w="2646" w:type="dxa"/>
          </w:tcPr>
          <w:p w14:paraId="1DB01B78" w14:textId="77777777" w:rsidR="0027665A" w:rsidRPr="00EC3409" w:rsidRDefault="0027665A" w:rsidP="00C54D1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Close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8.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</w:t>
            </w:r>
            <w:r w:rsidRPr="00EC3409">
              <w:rPr>
                <w:rFonts w:cstheme="minorHAnsi"/>
                <w:b/>
                <w:bCs/>
                <w:sz w:val="20"/>
                <w:szCs w:val="20"/>
                <w:u w:val="single"/>
              </w:rPr>
              <w:t>0pm</w:t>
            </w:r>
          </w:p>
          <w:p w14:paraId="081A9394" w14:textId="77777777" w:rsidR="0027665A" w:rsidRPr="009C0784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>Confirmation of action items</w:t>
            </w:r>
          </w:p>
          <w:p w14:paraId="7E9C4517" w14:textId="77777777" w:rsidR="0027665A" w:rsidRDefault="0027665A" w:rsidP="00C54D1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969747C">
              <w:rPr>
                <w:sz w:val="20"/>
                <w:szCs w:val="20"/>
              </w:rPr>
              <w:t xml:space="preserve">Next meeting date </w:t>
            </w:r>
            <w:r>
              <w:rPr>
                <w:sz w:val="20"/>
                <w:szCs w:val="20"/>
              </w:rPr>
              <w:t>– 21 September</w:t>
            </w:r>
            <w:r w:rsidRPr="5969747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28 days.</w:t>
            </w:r>
          </w:p>
          <w:p w14:paraId="0BA2F4B8" w14:textId="4C1389A0" w:rsidR="0027665A" w:rsidRPr="00AC35ED" w:rsidRDefault="0027665A" w:rsidP="001E047B">
            <w:pPr>
              <w:rPr>
                <w:sz w:val="20"/>
                <w:szCs w:val="20"/>
              </w:rPr>
            </w:pPr>
          </w:p>
        </w:tc>
        <w:tc>
          <w:tcPr>
            <w:tcW w:w="9823" w:type="dxa"/>
          </w:tcPr>
          <w:p w14:paraId="0592FE8E" w14:textId="412859EC" w:rsidR="0027665A" w:rsidRPr="00DA4DE1" w:rsidRDefault="0027665A" w:rsidP="00C54D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meeting 21 September 2021 in school holidays. </w:t>
            </w:r>
            <w:r w:rsidRPr="0027665A">
              <w:rPr>
                <w:rFonts w:cstheme="minorHAnsi"/>
                <w:i/>
                <w:iCs/>
                <w:sz w:val="20"/>
                <w:szCs w:val="20"/>
              </w:rPr>
              <w:t>Date to be considered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33C3A8A" w14:textId="47D2D99B" w:rsidR="0027665A" w:rsidRPr="009C0784" w:rsidRDefault="0027665A" w:rsidP="001E0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Sahar Razi</w:t>
            </w:r>
          </w:p>
        </w:tc>
      </w:tr>
    </w:tbl>
    <w:p w14:paraId="77C2F7F7" w14:textId="77777777" w:rsidR="000D5336" w:rsidRDefault="000D5336" w:rsidP="00F96A62"/>
    <w:sectPr w:rsidR="000D5336" w:rsidSect="005D3DE6">
      <w:headerReference w:type="default" r:id="rId7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FADE" w14:textId="77777777" w:rsidR="0039553F" w:rsidRDefault="0039553F" w:rsidP="00AC35ED">
      <w:pPr>
        <w:spacing w:after="0" w:line="240" w:lineRule="auto"/>
      </w:pPr>
      <w:r>
        <w:separator/>
      </w:r>
    </w:p>
  </w:endnote>
  <w:endnote w:type="continuationSeparator" w:id="0">
    <w:p w14:paraId="365F747E" w14:textId="77777777" w:rsidR="0039553F" w:rsidRDefault="0039553F" w:rsidP="00A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5A0F" w14:textId="77777777" w:rsidR="0039553F" w:rsidRDefault="0039553F" w:rsidP="00AC35ED">
      <w:pPr>
        <w:spacing w:after="0" w:line="240" w:lineRule="auto"/>
      </w:pPr>
      <w:r>
        <w:separator/>
      </w:r>
    </w:p>
  </w:footnote>
  <w:footnote w:type="continuationSeparator" w:id="0">
    <w:p w14:paraId="6B18D61C" w14:textId="77777777" w:rsidR="0039553F" w:rsidRDefault="0039553F" w:rsidP="00AC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AF7F" w14:textId="37ABBBB2" w:rsidR="00AC35ED" w:rsidRDefault="009C0784">
    <w:pPr>
      <w:pStyle w:val="Header"/>
    </w:pPr>
    <w:r>
      <w:rPr>
        <w:noProof/>
      </w:rPr>
      <w:drawing>
        <wp:inline distT="0" distB="0" distL="0" distR="0" wp14:anchorId="524C69E3" wp14:editId="6ED26CF2">
          <wp:extent cx="4256405" cy="1115601"/>
          <wp:effectExtent l="0" t="0" r="0" b="8890"/>
          <wp:docPr id="6" name="Picture 6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6405" cy="111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9A"/>
    <w:multiLevelType w:val="hybridMultilevel"/>
    <w:tmpl w:val="0F4E98AA"/>
    <w:lvl w:ilvl="0" w:tplc="60B8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87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A2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1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4EE5"/>
    <w:multiLevelType w:val="hybridMultilevel"/>
    <w:tmpl w:val="9586B854"/>
    <w:lvl w:ilvl="0" w:tplc="022A5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F1F"/>
    <w:multiLevelType w:val="hybridMultilevel"/>
    <w:tmpl w:val="A9F0DE40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6B2"/>
    <w:multiLevelType w:val="multilevel"/>
    <w:tmpl w:val="FA8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6653A"/>
    <w:multiLevelType w:val="hybridMultilevel"/>
    <w:tmpl w:val="9EF0D002"/>
    <w:lvl w:ilvl="0" w:tplc="3BA460D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5694803"/>
    <w:multiLevelType w:val="hybridMultilevel"/>
    <w:tmpl w:val="C422EC54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192A"/>
    <w:multiLevelType w:val="hybridMultilevel"/>
    <w:tmpl w:val="25BCE354"/>
    <w:lvl w:ilvl="0" w:tplc="CBEA4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12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8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E3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D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095C"/>
    <w:multiLevelType w:val="hybridMultilevel"/>
    <w:tmpl w:val="68EEC9AE"/>
    <w:lvl w:ilvl="0" w:tplc="FBBAD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496F"/>
    <w:multiLevelType w:val="hybridMultilevel"/>
    <w:tmpl w:val="8362AAA6"/>
    <w:lvl w:ilvl="0" w:tplc="D890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4634E"/>
    <w:multiLevelType w:val="multilevel"/>
    <w:tmpl w:val="E95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6"/>
    <w:rsid w:val="00012226"/>
    <w:rsid w:val="0006289E"/>
    <w:rsid w:val="00064BD6"/>
    <w:rsid w:val="0006647F"/>
    <w:rsid w:val="00082928"/>
    <w:rsid w:val="00093C9F"/>
    <w:rsid w:val="000A6ED0"/>
    <w:rsid w:val="000C5CF7"/>
    <w:rsid w:val="000D5336"/>
    <w:rsid w:val="0010309D"/>
    <w:rsid w:val="001231F0"/>
    <w:rsid w:val="00164F4B"/>
    <w:rsid w:val="001663FD"/>
    <w:rsid w:val="00184FBF"/>
    <w:rsid w:val="001A12D7"/>
    <w:rsid w:val="001A6EC5"/>
    <w:rsid w:val="001C2948"/>
    <w:rsid w:val="001C3463"/>
    <w:rsid w:val="001D3BF1"/>
    <w:rsid w:val="001E047B"/>
    <w:rsid w:val="001F0EAC"/>
    <w:rsid w:val="001F12A2"/>
    <w:rsid w:val="002073C8"/>
    <w:rsid w:val="0023546D"/>
    <w:rsid w:val="00241CA9"/>
    <w:rsid w:val="0026593C"/>
    <w:rsid w:val="0027665A"/>
    <w:rsid w:val="002922DB"/>
    <w:rsid w:val="002E7BBD"/>
    <w:rsid w:val="00326134"/>
    <w:rsid w:val="0034430F"/>
    <w:rsid w:val="00344EC1"/>
    <w:rsid w:val="00367FF8"/>
    <w:rsid w:val="00370571"/>
    <w:rsid w:val="003823E4"/>
    <w:rsid w:val="00385B74"/>
    <w:rsid w:val="00394A2C"/>
    <w:rsid w:val="0039553F"/>
    <w:rsid w:val="003B11E2"/>
    <w:rsid w:val="003D2956"/>
    <w:rsid w:val="003D78A8"/>
    <w:rsid w:val="003E2505"/>
    <w:rsid w:val="003E4D1B"/>
    <w:rsid w:val="003E773E"/>
    <w:rsid w:val="003E7FCA"/>
    <w:rsid w:val="003F23BD"/>
    <w:rsid w:val="004029E5"/>
    <w:rsid w:val="00415F49"/>
    <w:rsid w:val="00417373"/>
    <w:rsid w:val="00423AA3"/>
    <w:rsid w:val="00425770"/>
    <w:rsid w:val="00437550"/>
    <w:rsid w:val="0044426E"/>
    <w:rsid w:val="00476905"/>
    <w:rsid w:val="00481A58"/>
    <w:rsid w:val="004B4BD7"/>
    <w:rsid w:val="004F08EC"/>
    <w:rsid w:val="004F0977"/>
    <w:rsid w:val="004F6AB6"/>
    <w:rsid w:val="00501196"/>
    <w:rsid w:val="00515F89"/>
    <w:rsid w:val="005356D6"/>
    <w:rsid w:val="00541B17"/>
    <w:rsid w:val="00556F34"/>
    <w:rsid w:val="005758F6"/>
    <w:rsid w:val="00584594"/>
    <w:rsid w:val="00592118"/>
    <w:rsid w:val="005D3DE6"/>
    <w:rsid w:val="005D67AA"/>
    <w:rsid w:val="00612751"/>
    <w:rsid w:val="00633369"/>
    <w:rsid w:val="006504FD"/>
    <w:rsid w:val="00674426"/>
    <w:rsid w:val="006B1AAB"/>
    <w:rsid w:val="006E1084"/>
    <w:rsid w:val="006E6B8E"/>
    <w:rsid w:val="006E7D62"/>
    <w:rsid w:val="006F57BF"/>
    <w:rsid w:val="007272FA"/>
    <w:rsid w:val="007333B4"/>
    <w:rsid w:val="00776043"/>
    <w:rsid w:val="00776142"/>
    <w:rsid w:val="007809BC"/>
    <w:rsid w:val="00780A36"/>
    <w:rsid w:val="007A477A"/>
    <w:rsid w:val="00801DB3"/>
    <w:rsid w:val="008258E8"/>
    <w:rsid w:val="008278A1"/>
    <w:rsid w:val="008400B7"/>
    <w:rsid w:val="00863F54"/>
    <w:rsid w:val="00865E13"/>
    <w:rsid w:val="00876DE6"/>
    <w:rsid w:val="008874E7"/>
    <w:rsid w:val="00893879"/>
    <w:rsid w:val="008B52C9"/>
    <w:rsid w:val="008B7C1D"/>
    <w:rsid w:val="008C5779"/>
    <w:rsid w:val="008F0375"/>
    <w:rsid w:val="0090797C"/>
    <w:rsid w:val="00922FF7"/>
    <w:rsid w:val="00923EF1"/>
    <w:rsid w:val="00927A8D"/>
    <w:rsid w:val="00941846"/>
    <w:rsid w:val="00941DD9"/>
    <w:rsid w:val="00947FCD"/>
    <w:rsid w:val="0095045E"/>
    <w:rsid w:val="00970264"/>
    <w:rsid w:val="00970933"/>
    <w:rsid w:val="009847C5"/>
    <w:rsid w:val="00991D12"/>
    <w:rsid w:val="009B7857"/>
    <w:rsid w:val="009C0784"/>
    <w:rsid w:val="009F39AE"/>
    <w:rsid w:val="009F5705"/>
    <w:rsid w:val="00A02FEC"/>
    <w:rsid w:val="00A03965"/>
    <w:rsid w:val="00A039D4"/>
    <w:rsid w:val="00A03B80"/>
    <w:rsid w:val="00A0503D"/>
    <w:rsid w:val="00A116A8"/>
    <w:rsid w:val="00A251DC"/>
    <w:rsid w:val="00A328B5"/>
    <w:rsid w:val="00A81593"/>
    <w:rsid w:val="00A83E01"/>
    <w:rsid w:val="00AB04F1"/>
    <w:rsid w:val="00AB5039"/>
    <w:rsid w:val="00AC35ED"/>
    <w:rsid w:val="00AC6C8D"/>
    <w:rsid w:val="00AD17D2"/>
    <w:rsid w:val="00AD773F"/>
    <w:rsid w:val="00AE5821"/>
    <w:rsid w:val="00B01D52"/>
    <w:rsid w:val="00B22038"/>
    <w:rsid w:val="00B43C3E"/>
    <w:rsid w:val="00B91153"/>
    <w:rsid w:val="00B97424"/>
    <w:rsid w:val="00BD087E"/>
    <w:rsid w:val="00BD0FF5"/>
    <w:rsid w:val="00BE5905"/>
    <w:rsid w:val="00C01F25"/>
    <w:rsid w:val="00C14567"/>
    <w:rsid w:val="00C20252"/>
    <w:rsid w:val="00C50C8A"/>
    <w:rsid w:val="00C52531"/>
    <w:rsid w:val="00C54D12"/>
    <w:rsid w:val="00C649E9"/>
    <w:rsid w:val="00C869BC"/>
    <w:rsid w:val="00CA4703"/>
    <w:rsid w:val="00CB6B05"/>
    <w:rsid w:val="00CD6CFF"/>
    <w:rsid w:val="00CE165B"/>
    <w:rsid w:val="00CF2423"/>
    <w:rsid w:val="00CF621A"/>
    <w:rsid w:val="00D00C88"/>
    <w:rsid w:val="00D21B79"/>
    <w:rsid w:val="00D312B3"/>
    <w:rsid w:val="00D40EAA"/>
    <w:rsid w:val="00D93552"/>
    <w:rsid w:val="00DA4DE1"/>
    <w:rsid w:val="00DA6878"/>
    <w:rsid w:val="00DB3087"/>
    <w:rsid w:val="00DC0160"/>
    <w:rsid w:val="00DC72B1"/>
    <w:rsid w:val="00DD1904"/>
    <w:rsid w:val="00DE1906"/>
    <w:rsid w:val="00E034CC"/>
    <w:rsid w:val="00E21413"/>
    <w:rsid w:val="00E26298"/>
    <w:rsid w:val="00E60FA6"/>
    <w:rsid w:val="00E7627A"/>
    <w:rsid w:val="00E83713"/>
    <w:rsid w:val="00E84EF1"/>
    <w:rsid w:val="00E8772D"/>
    <w:rsid w:val="00EC1A1D"/>
    <w:rsid w:val="00EC3409"/>
    <w:rsid w:val="00F07BB6"/>
    <w:rsid w:val="00F26213"/>
    <w:rsid w:val="00F34363"/>
    <w:rsid w:val="00F3560B"/>
    <w:rsid w:val="00F45879"/>
    <w:rsid w:val="00F6142A"/>
    <w:rsid w:val="00F72F6F"/>
    <w:rsid w:val="00F96A62"/>
    <w:rsid w:val="00F97206"/>
    <w:rsid w:val="00FF0C55"/>
    <w:rsid w:val="00FF5B5A"/>
    <w:rsid w:val="596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77690"/>
  <w15:chartTrackingRefBased/>
  <w15:docId w15:val="{46A53CAC-DDB5-4839-90CE-2591839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ED"/>
  </w:style>
  <w:style w:type="paragraph" w:styleId="Footer">
    <w:name w:val="footer"/>
    <w:basedOn w:val="Normal"/>
    <w:link w:val="FooterChar"/>
    <w:uiPriority w:val="99"/>
    <w:unhideWhenUsed/>
    <w:rsid w:val="00AC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ED"/>
  </w:style>
  <w:style w:type="character" w:styleId="Hyperlink">
    <w:name w:val="Hyperlink"/>
    <w:basedOn w:val="DefaultParagraphFont"/>
    <w:uiPriority w:val="99"/>
    <w:unhideWhenUsed/>
    <w:rsid w:val="00DC7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2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A4D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Razi</dc:creator>
  <cp:keywords/>
  <dc:description/>
  <cp:lastModifiedBy>Sahar Razi</cp:lastModifiedBy>
  <cp:revision>79</cp:revision>
  <dcterms:created xsi:type="dcterms:W3CDTF">2021-08-17T08:32:00Z</dcterms:created>
  <dcterms:modified xsi:type="dcterms:W3CDTF">2022-02-22T12:23:00Z</dcterms:modified>
</cp:coreProperties>
</file>